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C95" w:rsidRDefault="00BB1C95" w:rsidP="008310B9">
      <w:pPr>
        <w:pStyle w:val="Titre1"/>
        <w:jc w:val="center"/>
        <w:rPr>
          <w:b/>
        </w:rPr>
      </w:pPr>
      <w:r w:rsidRPr="008B19D1">
        <w:rPr>
          <w:b/>
        </w:rPr>
        <w:t>« ICA4 Intelligence et Intelligence artificielle à l’Université Paris-Saclay »</w:t>
      </w:r>
    </w:p>
    <w:p w:rsidR="005A74F3" w:rsidRPr="005A74F3" w:rsidRDefault="00093C51" w:rsidP="005A74F3">
      <w:r>
        <w:t>Les travaux se tiendront dans les locaux de l’ENS Paris-Saclay.</w:t>
      </w:r>
    </w:p>
    <w:p w:rsidR="00BB1C95" w:rsidRPr="008B19D1" w:rsidRDefault="00BB1C95" w:rsidP="008310B9">
      <w:pPr>
        <w:pStyle w:val="Titre2"/>
        <w:jc w:val="center"/>
        <w:rPr>
          <w:b/>
        </w:rPr>
      </w:pPr>
      <w:r w:rsidRPr="008B19D1">
        <w:rPr>
          <w:b/>
        </w:rPr>
        <w:t>14h- Colloque plénier introductif</w:t>
      </w:r>
    </w:p>
    <w:p w:rsidR="00BB1C95" w:rsidRDefault="00840B9E" w:rsidP="002A7831">
      <w:pPr>
        <w:pStyle w:val="Paragraphedeliste"/>
        <w:numPr>
          <w:ilvl w:val="0"/>
          <w:numId w:val="6"/>
        </w:numPr>
      </w:pPr>
      <w:r>
        <w:t>M</w:t>
      </w:r>
      <w:r w:rsidR="00BB1C95">
        <w:t xml:space="preserve">ot d'ouverture </w:t>
      </w:r>
      <w:r>
        <w:t xml:space="preserve">(Pierre-Paul Zalio, Président de l’ENS Paris-Saclay, </w:t>
      </w:r>
      <w:r w:rsidRPr="002A7831">
        <w:rPr>
          <w:i/>
        </w:rPr>
        <w:t>sous réserve</w:t>
      </w:r>
      <w:r>
        <w:t>)</w:t>
      </w:r>
    </w:p>
    <w:p w:rsidR="00BB1C95" w:rsidRDefault="00840B9E" w:rsidP="002A7831">
      <w:pPr>
        <w:pStyle w:val="Paragraphedeliste"/>
        <w:numPr>
          <w:ilvl w:val="0"/>
          <w:numId w:val="6"/>
        </w:numPr>
        <w:jc w:val="both"/>
      </w:pPr>
      <w:r>
        <w:t>T</w:t>
      </w:r>
      <w:r w:rsidR="00BB1C95">
        <w:t xml:space="preserve">rois focus sur nos activités </w:t>
      </w:r>
      <w:r w:rsidR="00AB37DE">
        <w:t xml:space="preserve">de recherche SHS, SDV et S&amp;I, </w:t>
      </w:r>
      <w:r w:rsidR="00BB1C95">
        <w:t>sur le thème intelligence et intelligence artificielle, présentés par des collègues Saclaysiens</w:t>
      </w:r>
      <w:r w:rsidR="00AB37DE">
        <w:t xml:space="preserve"> </w:t>
      </w:r>
      <w:r>
        <w:t>:</w:t>
      </w:r>
    </w:p>
    <w:p w:rsidR="00840B9E" w:rsidRPr="002A7831" w:rsidRDefault="00840B9E" w:rsidP="002A7831">
      <w:pPr>
        <w:pStyle w:val="Paragraphedeliste"/>
        <w:numPr>
          <w:ilvl w:val="0"/>
          <w:numId w:val="7"/>
        </w:numPr>
        <w:jc w:val="both"/>
        <w:rPr>
          <w:lang w:val="en-US"/>
        </w:rPr>
      </w:pPr>
      <w:r w:rsidRPr="002A7831">
        <w:rPr>
          <w:lang w:val="en-US"/>
        </w:rPr>
        <w:t>SHS : Daniela Piana</w:t>
      </w:r>
      <w:r w:rsidR="00AB37DE" w:rsidRPr="002A7831">
        <w:rPr>
          <w:lang w:val="en-US"/>
        </w:rPr>
        <w:t xml:space="preserve"> (ISP </w:t>
      </w:r>
      <w:r w:rsidR="008310B9" w:rsidRPr="002A7831">
        <w:rPr>
          <w:lang w:val="en-US"/>
        </w:rPr>
        <w:t>–</w:t>
      </w:r>
      <w:r w:rsidR="00AB37DE" w:rsidRPr="002A7831">
        <w:rPr>
          <w:lang w:val="en-US"/>
        </w:rPr>
        <w:t xml:space="preserve"> </w:t>
      </w:r>
      <w:r w:rsidR="008310B9" w:rsidRPr="002A7831">
        <w:rPr>
          <w:lang w:val="en-US"/>
        </w:rPr>
        <w:t xml:space="preserve">ENS </w:t>
      </w:r>
      <w:r w:rsidR="00AB37DE" w:rsidRPr="002A7831">
        <w:rPr>
          <w:lang w:val="en-US"/>
        </w:rPr>
        <w:t>Paris-Saclay)</w:t>
      </w:r>
    </w:p>
    <w:p w:rsidR="002A7831" w:rsidRDefault="00840B9E" w:rsidP="00C56721">
      <w:pPr>
        <w:pStyle w:val="Paragraphedeliste"/>
        <w:numPr>
          <w:ilvl w:val="0"/>
          <w:numId w:val="7"/>
        </w:numPr>
        <w:jc w:val="both"/>
      </w:pPr>
      <w:r>
        <w:t>S</w:t>
      </w:r>
      <w:r w:rsidR="00AB37DE">
        <w:t>D</w:t>
      </w:r>
      <w:r>
        <w:t>V : Stanislas Dehaene</w:t>
      </w:r>
      <w:r w:rsidR="008310B9">
        <w:t xml:space="preserve"> (NeuroSpin – CEA)</w:t>
      </w:r>
    </w:p>
    <w:p w:rsidR="00840B9E" w:rsidRDefault="00840B9E" w:rsidP="00C56721">
      <w:pPr>
        <w:pStyle w:val="Paragraphedeliste"/>
        <w:numPr>
          <w:ilvl w:val="0"/>
          <w:numId w:val="7"/>
        </w:numPr>
        <w:jc w:val="both"/>
      </w:pPr>
      <w:r>
        <w:t>S&amp;I :</w:t>
      </w:r>
      <w:r w:rsidR="00974078">
        <w:t xml:space="preserve"> François Terrier (DataIA – CEA LIST)</w:t>
      </w:r>
    </w:p>
    <w:p w:rsidR="00BB1C95" w:rsidRPr="00F234CF" w:rsidRDefault="00BB1C95" w:rsidP="00BB1C95">
      <w:pPr>
        <w:rPr>
          <w:i/>
        </w:rPr>
      </w:pPr>
      <w:r w:rsidRPr="00F234CF">
        <w:rPr>
          <w:i/>
        </w:rPr>
        <w:t>15h15- pause café</w:t>
      </w:r>
    </w:p>
    <w:p w:rsidR="00840B9E" w:rsidRPr="008B19D1" w:rsidRDefault="00BB1C95" w:rsidP="008310B9">
      <w:pPr>
        <w:pStyle w:val="Titre2"/>
        <w:jc w:val="center"/>
        <w:rPr>
          <w:b/>
        </w:rPr>
      </w:pPr>
      <w:r w:rsidRPr="008B19D1">
        <w:rPr>
          <w:b/>
        </w:rPr>
        <w:t>15h45- Ateliers parallèles</w:t>
      </w:r>
    </w:p>
    <w:tbl>
      <w:tblPr>
        <w:tblStyle w:val="Grilledutableau"/>
        <w:tblpPr w:leftFromText="141" w:rightFromText="141" w:vertAnchor="text" w:horzAnchor="margin" w:tblpX="-567" w:tblpY="379"/>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946"/>
      </w:tblGrid>
      <w:tr w:rsidR="009A3FC7" w:rsidTr="008B19D1">
        <w:tc>
          <w:tcPr>
            <w:tcW w:w="10065" w:type="dxa"/>
            <w:gridSpan w:val="2"/>
            <w:shd w:val="clear" w:color="auto" w:fill="DEEAF6" w:themeFill="accent1" w:themeFillTint="33"/>
          </w:tcPr>
          <w:p w:rsidR="00093C51" w:rsidRDefault="009A3FC7" w:rsidP="00093C51">
            <w:pPr>
              <w:pStyle w:val="Titre1"/>
              <w:spacing w:before="0"/>
              <w:jc w:val="center"/>
              <w:outlineLvl w:val="0"/>
              <w:rPr>
                <w:b/>
                <w:lang w:val="en-US"/>
              </w:rPr>
            </w:pPr>
            <w:r w:rsidRPr="008B19D1">
              <w:rPr>
                <w:b/>
              </w:rPr>
              <w:t>SHS</w:t>
            </w:r>
            <w:r w:rsidR="00093C51">
              <w:rPr>
                <w:b/>
              </w:rPr>
              <w:t xml:space="preserve"> </w:t>
            </w:r>
            <w:r w:rsidR="00093C51" w:rsidRPr="00093C51">
              <w:rPr>
                <w:b/>
                <w:lang w:val="en-US"/>
              </w:rPr>
              <w:t xml:space="preserve"> </w:t>
            </w:r>
          </w:p>
          <w:p w:rsidR="009A3FC7" w:rsidRPr="008B19D1" w:rsidRDefault="00093C51" w:rsidP="00093C51">
            <w:pPr>
              <w:pStyle w:val="Titre1"/>
              <w:spacing w:before="0"/>
              <w:jc w:val="center"/>
              <w:outlineLvl w:val="0"/>
              <w:rPr>
                <w:b/>
              </w:rPr>
            </w:pPr>
            <w:r>
              <w:rPr>
                <w:b/>
                <w:lang w:val="en-US"/>
              </w:rPr>
              <w:t>Anim</w:t>
            </w:r>
            <w:r w:rsidRPr="00093C51">
              <w:rPr>
                <w:b/>
                <w:lang w:val="en-US"/>
              </w:rPr>
              <w:t>atrice : Daniela Piana</w:t>
            </w:r>
          </w:p>
        </w:tc>
      </w:tr>
      <w:tr w:rsidR="008B19D1" w:rsidTr="008B19D1">
        <w:tc>
          <w:tcPr>
            <w:tcW w:w="3119" w:type="dxa"/>
          </w:tcPr>
          <w:p w:rsidR="009A3FC7" w:rsidRPr="00093C51" w:rsidRDefault="009A3FC7" w:rsidP="00093C51">
            <w:pPr>
              <w:pStyle w:val="Titre1"/>
              <w:outlineLvl w:val="0"/>
              <w:rPr>
                <w:b/>
                <w:lang w:val="en-US"/>
              </w:rPr>
            </w:pPr>
            <w:r w:rsidRPr="00093C51">
              <w:rPr>
                <w:b/>
                <w:sz w:val="24"/>
                <w:szCs w:val="24"/>
                <w:lang w:val="en-US"/>
              </w:rPr>
              <w:t>Avec</w:t>
            </w:r>
            <w:r w:rsidRPr="00093C51">
              <w:rPr>
                <w:b/>
                <w:lang w:val="en-US"/>
              </w:rPr>
              <w:t xml:space="preserve"> Karen Yeung</w:t>
            </w:r>
            <w:r w:rsidRPr="00093C51">
              <w:rPr>
                <w:rStyle w:val="Appeldenotedefin"/>
                <w:b/>
                <w:u w:val="single"/>
                <w:lang w:val="en-US"/>
              </w:rPr>
              <w:endnoteReference w:id="1"/>
            </w:r>
          </w:p>
          <w:p w:rsidR="009A3FC7" w:rsidRDefault="009A3FC7" w:rsidP="008B19D1">
            <w:pPr>
              <w:jc w:val="both"/>
              <w:rPr>
                <w:u w:val="single"/>
                <w:lang w:val="en-US"/>
              </w:rPr>
            </w:pPr>
          </w:p>
          <w:p w:rsidR="009A3FC7" w:rsidRPr="009A3FC7" w:rsidRDefault="009A3FC7" w:rsidP="008B19D1">
            <w:pPr>
              <w:rPr>
                <w:i/>
                <w:lang w:val="en-US"/>
              </w:rPr>
            </w:pPr>
            <w:r w:rsidRPr="009A3FC7">
              <w:rPr>
                <w:i/>
                <w:lang w:val="en-US"/>
              </w:rPr>
              <w:t>Interdisciplinary Professorial Fellow in Law, Ethics, and Informatics at the University of Birmingham</w:t>
            </w:r>
          </w:p>
          <w:p w:rsidR="009A3FC7" w:rsidRPr="009A3FC7" w:rsidRDefault="009A3FC7" w:rsidP="008B19D1">
            <w:pPr>
              <w:rPr>
                <w:b/>
                <w:i/>
                <w:lang w:val="en-US"/>
              </w:rPr>
            </w:pPr>
          </w:p>
          <w:p w:rsidR="009A3FC7" w:rsidRPr="009A3FC7" w:rsidRDefault="009A3FC7" w:rsidP="008B19D1">
            <w:pPr>
              <w:jc w:val="both"/>
              <w:rPr>
                <w:lang w:val="en-US"/>
              </w:rPr>
            </w:pPr>
          </w:p>
        </w:tc>
        <w:tc>
          <w:tcPr>
            <w:tcW w:w="6946" w:type="dxa"/>
          </w:tcPr>
          <w:p w:rsidR="00093C51" w:rsidRDefault="00093C51" w:rsidP="008B19D1">
            <w:pPr>
              <w:numPr>
                <w:ilvl w:val="0"/>
                <w:numId w:val="5"/>
              </w:numPr>
              <w:ind w:left="317"/>
              <w:jc w:val="both"/>
              <w:rPr>
                <w:u w:val="single"/>
              </w:rPr>
            </w:pPr>
            <w:r w:rsidRPr="00093C51">
              <w:rPr>
                <w:u w:val="single"/>
              </w:rPr>
              <w:t>Daniela Piana, « Algorithmes et justice »</w:t>
            </w:r>
            <w:r>
              <w:rPr>
                <w:u w:val="single"/>
              </w:rPr>
              <w:t xml:space="preserve"> </w:t>
            </w:r>
          </w:p>
          <w:p w:rsidR="00093C51" w:rsidRDefault="00093C51" w:rsidP="00093C51">
            <w:pPr>
              <w:ind w:left="317"/>
              <w:jc w:val="both"/>
              <w:rPr>
                <w:i/>
                <w:sz w:val="20"/>
                <w:szCs w:val="20"/>
              </w:rPr>
            </w:pPr>
            <w:r>
              <w:rPr>
                <w:i/>
                <w:sz w:val="20"/>
                <w:szCs w:val="20"/>
              </w:rPr>
              <w:t xml:space="preserve">( ISP, ENS Paris-Saclay, </w:t>
            </w:r>
            <w:r w:rsidRPr="00093C51">
              <w:rPr>
                <w:i/>
                <w:sz w:val="20"/>
                <w:szCs w:val="20"/>
              </w:rPr>
              <w:t>Réseau Unesco NetLearning et Maison des Intelligences Sociales et Numériques)</w:t>
            </w:r>
          </w:p>
          <w:p w:rsidR="00093C51" w:rsidRDefault="00093C51" w:rsidP="00093C51">
            <w:pPr>
              <w:ind w:left="317"/>
              <w:jc w:val="both"/>
              <w:rPr>
                <w:i/>
                <w:sz w:val="20"/>
                <w:szCs w:val="20"/>
              </w:rPr>
            </w:pPr>
          </w:p>
          <w:p w:rsidR="008B19D1" w:rsidRDefault="009A3FC7" w:rsidP="00093C51">
            <w:pPr>
              <w:pStyle w:val="Paragraphedeliste"/>
              <w:numPr>
                <w:ilvl w:val="0"/>
                <w:numId w:val="9"/>
              </w:numPr>
              <w:jc w:val="both"/>
            </w:pPr>
            <w:r w:rsidRPr="00093C51">
              <w:rPr>
                <w:iCs/>
                <w:u w:val="single"/>
              </w:rPr>
              <w:t xml:space="preserve">Grazia Cecere, </w:t>
            </w:r>
            <w:bookmarkStart w:id="0" w:name="_GoBack"/>
            <w:r w:rsidRPr="00093C51">
              <w:rPr>
                <w:u w:val="single"/>
              </w:rPr>
              <w:t>« Algorithmes, plateformes et concurrence »</w:t>
            </w:r>
            <w:r>
              <w:t xml:space="preserve"> </w:t>
            </w:r>
            <w:bookmarkEnd w:id="0"/>
          </w:p>
          <w:p w:rsidR="009A3FC7" w:rsidRPr="008B19D1" w:rsidRDefault="008B19D1" w:rsidP="008B19D1">
            <w:pPr>
              <w:ind w:left="317"/>
              <w:jc w:val="both"/>
              <w:rPr>
                <w:sz w:val="20"/>
                <w:szCs w:val="20"/>
              </w:rPr>
            </w:pPr>
            <w:r w:rsidRPr="008B19D1">
              <w:rPr>
                <w:sz w:val="20"/>
                <w:szCs w:val="20"/>
              </w:rPr>
              <w:t>(</w:t>
            </w:r>
            <w:r w:rsidR="009A3FC7" w:rsidRPr="008B19D1">
              <w:rPr>
                <w:sz w:val="20"/>
                <w:szCs w:val="20"/>
              </w:rPr>
              <w:t xml:space="preserve">projet MSH </w:t>
            </w:r>
            <w:r w:rsidR="009A3FC7" w:rsidRPr="008B19D1">
              <w:rPr>
                <w:i/>
                <w:iCs/>
                <w:sz w:val="20"/>
                <w:szCs w:val="20"/>
              </w:rPr>
              <w:t>Grazia Cecere (IMT Business School), Ulrich Laitenberger (Télécom ParisTech – Département SES)  et Julie Groffe (CERDI / UPSaclay))</w:t>
            </w:r>
          </w:p>
          <w:p w:rsidR="009A3FC7" w:rsidRPr="002A7831" w:rsidRDefault="009A3FC7" w:rsidP="008B19D1">
            <w:pPr>
              <w:ind w:left="317"/>
              <w:jc w:val="both"/>
            </w:pPr>
          </w:p>
          <w:p w:rsidR="008B19D1" w:rsidRPr="008B19D1" w:rsidRDefault="009A3FC7" w:rsidP="008B19D1">
            <w:pPr>
              <w:numPr>
                <w:ilvl w:val="0"/>
                <w:numId w:val="5"/>
              </w:numPr>
              <w:ind w:left="317"/>
              <w:jc w:val="both"/>
              <w:rPr>
                <w:i/>
              </w:rPr>
            </w:pPr>
            <w:r w:rsidRPr="002A7831">
              <w:rPr>
                <w:u w:val="single"/>
              </w:rPr>
              <w:t>Paola Tubaro,</w:t>
            </w:r>
            <w:r w:rsidRPr="002A7831">
              <w:rPr>
                <w:i/>
                <w:u w:val="single"/>
              </w:rPr>
              <w:t xml:space="preserve"> « </w:t>
            </w:r>
            <w:r w:rsidRPr="002A7831">
              <w:rPr>
                <w:u w:val="single"/>
              </w:rPr>
              <w:t> Les vraies voix de l’intelligence artificielle »</w:t>
            </w:r>
            <w:r>
              <w:t xml:space="preserve"> </w:t>
            </w:r>
          </w:p>
          <w:p w:rsidR="009A3FC7" w:rsidRPr="008B19D1" w:rsidRDefault="009A3FC7" w:rsidP="008B19D1">
            <w:pPr>
              <w:ind w:left="317"/>
              <w:jc w:val="both"/>
              <w:rPr>
                <w:i/>
                <w:sz w:val="20"/>
                <w:szCs w:val="20"/>
              </w:rPr>
            </w:pPr>
            <w:r w:rsidRPr="008B19D1">
              <w:rPr>
                <w:sz w:val="20"/>
                <w:szCs w:val="20"/>
              </w:rPr>
              <w:t xml:space="preserve">(projet MSH </w:t>
            </w:r>
            <w:r w:rsidRPr="008B19D1">
              <w:rPr>
                <w:i/>
                <w:sz w:val="20"/>
                <w:szCs w:val="20"/>
              </w:rPr>
              <w:t>Paola Tubaro (LRI, UPSaclay),  Ioana Vasilescu (LIMSI UPSaclay) et Antonio Casilli (Télécom ParisTech Département SES))</w:t>
            </w:r>
          </w:p>
        </w:tc>
      </w:tr>
      <w:tr w:rsidR="009A3FC7" w:rsidRPr="002A7831" w:rsidTr="008B19D1">
        <w:tc>
          <w:tcPr>
            <w:tcW w:w="10065" w:type="dxa"/>
            <w:gridSpan w:val="2"/>
            <w:shd w:val="clear" w:color="auto" w:fill="DEEAF6" w:themeFill="accent1" w:themeFillTint="33"/>
          </w:tcPr>
          <w:p w:rsidR="00093C51" w:rsidRPr="00093C51" w:rsidRDefault="009A3FC7" w:rsidP="00093C51">
            <w:pPr>
              <w:pStyle w:val="Titre1"/>
              <w:spacing w:before="0"/>
              <w:jc w:val="center"/>
              <w:outlineLvl w:val="0"/>
              <w:rPr>
                <w:b/>
              </w:rPr>
            </w:pPr>
            <w:r w:rsidRPr="00093C51">
              <w:rPr>
                <w:b/>
              </w:rPr>
              <w:t>S&amp;I</w:t>
            </w:r>
            <w:r w:rsidR="00093C51" w:rsidRPr="00093C51">
              <w:rPr>
                <w:b/>
              </w:rPr>
              <w:br/>
              <w:t>Animateur : François Terrier</w:t>
            </w:r>
          </w:p>
        </w:tc>
      </w:tr>
      <w:tr w:rsidR="008B19D1" w:rsidRPr="00093C51" w:rsidTr="008B19D1">
        <w:tc>
          <w:tcPr>
            <w:tcW w:w="3119" w:type="dxa"/>
          </w:tcPr>
          <w:p w:rsidR="009A3FC7" w:rsidRPr="00093C51" w:rsidRDefault="009A3FC7" w:rsidP="00093C51">
            <w:pPr>
              <w:pStyle w:val="Titre1"/>
              <w:outlineLvl w:val="0"/>
              <w:rPr>
                <w:b/>
              </w:rPr>
            </w:pPr>
            <w:r w:rsidRPr="00093C51">
              <w:rPr>
                <w:b/>
                <w:sz w:val="24"/>
                <w:szCs w:val="24"/>
              </w:rPr>
              <w:t>Avec</w:t>
            </w:r>
            <w:r w:rsidRPr="00093C51">
              <w:rPr>
                <w:b/>
              </w:rPr>
              <w:t xml:space="preserve"> Toshio Fukuda</w:t>
            </w:r>
            <w:r w:rsidR="008B19D1" w:rsidRPr="00093C51">
              <w:rPr>
                <w:rStyle w:val="Appeldenotedefin"/>
                <w:b/>
                <w:u w:val="single"/>
                <w:lang w:val="en-US"/>
              </w:rPr>
              <w:endnoteReference w:id="2"/>
            </w:r>
          </w:p>
          <w:p w:rsidR="008B19D1" w:rsidRPr="00093C51" w:rsidRDefault="008B19D1" w:rsidP="008B19D1">
            <w:pPr>
              <w:jc w:val="both"/>
            </w:pPr>
          </w:p>
          <w:p w:rsidR="009A3FC7" w:rsidRPr="008B19D1" w:rsidRDefault="009A3FC7" w:rsidP="008B19D1">
            <w:pPr>
              <w:rPr>
                <w:i/>
                <w:lang w:val="en-US"/>
              </w:rPr>
            </w:pPr>
            <w:r w:rsidRPr="00093C51">
              <w:rPr>
                <w:i/>
              </w:rPr>
              <w:t xml:space="preserve">Professor at the Beijing Institute for Technology; Emeritus </w:t>
            </w:r>
            <w:r w:rsidR="008B19D1" w:rsidRPr="00093C51">
              <w:rPr>
                <w:i/>
              </w:rPr>
              <w:t>professor at Na</w:t>
            </w:r>
            <w:r w:rsidR="008B19D1">
              <w:rPr>
                <w:i/>
                <w:lang w:val="en-US"/>
              </w:rPr>
              <w:t>goya University</w:t>
            </w:r>
          </w:p>
        </w:tc>
        <w:tc>
          <w:tcPr>
            <w:tcW w:w="6946" w:type="dxa"/>
          </w:tcPr>
          <w:p w:rsidR="00093C51" w:rsidRPr="00093C51" w:rsidRDefault="00093C51" w:rsidP="00093C51">
            <w:pPr>
              <w:pStyle w:val="Paragraphedeliste"/>
              <w:ind w:left="317"/>
              <w:jc w:val="both"/>
              <w:rPr>
                <w:i/>
                <w:sz w:val="20"/>
                <w:szCs w:val="20"/>
                <w:lang w:val="en-US"/>
              </w:rPr>
            </w:pPr>
          </w:p>
          <w:p w:rsidR="009A3FC7" w:rsidRPr="008B19D1" w:rsidRDefault="009A3FC7" w:rsidP="008B19D1">
            <w:pPr>
              <w:pStyle w:val="Paragraphedeliste"/>
              <w:numPr>
                <w:ilvl w:val="0"/>
                <w:numId w:val="8"/>
              </w:numPr>
              <w:ind w:left="317"/>
              <w:jc w:val="both"/>
              <w:rPr>
                <w:i/>
                <w:sz w:val="20"/>
                <w:szCs w:val="20"/>
                <w:lang w:val="en-US"/>
              </w:rPr>
            </w:pPr>
            <w:r w:rsidRPr="008B19D1">
              <w:rPr>
                <w:u w:val="single"/>
                <w:lang w:val="en-US"/>
              </w:rPr>
              <w:t xml:space="preserve">Thomas Deneux, “AlphAI, a learning robot to teach Artificial Intelligence" </w:t>
            </w:r>
            <w:r w:rsidRPr="008B19D1">
              <w:rPr>
                <w:lang w:val="en-US"/>
              </w:rPr>
              <w:t xml:space="preserve"> </w:t>
            </w:r>
            <w:r w:rsidRPr="008B19D1">
              <w:rPr>
                <w:i/>
                <w:sz w:val="20"/>
                <w:szCs w:val="20"/>
                <w:lang w:val="en-US"/>
              </w:rPr>
              <w:t>(projet de Thomas Deneux (NeuroPsi) et la startup Learning Robots)</w:t>
            </w:r>
          </w:p>
          <w:p w:rsidR="009A3FC7" w:rsidRDefault="009A3FC7" w:rsidP="008B19D1">
            <w:pPr>
              <w:jc w:val="both"/>
              <w:rPr>
                <w:b/>
                <w:lang w:val="en-US"/>
              </w:rPr>
            </w:pPr>
          </w:p>
          <w:p w:rsidR="009A3FC7" w:rsidRPr="002A7831" w:rsidRDefault="009A3FC7" w:rsidP="008B19D1">
            <w:pPr>
              <w:jc w:val="both"/>
              <w:rPr>
                <w:b/>
                <w:lang w:val="en-US"/>
              </w:rPr>
            </w:pPr>
          </w:p>
        </w:tc>
      </w:tr>
      <w:tr w:rsidR="008B19D1" w:rsidRPr="00093C51" w:rsidTr="008B19D1">
        <w:tc>
          <w:tcPr>
            <w:tcW w:w="10065" w:type="dxa"/>
            <w:gridSpan w:val="2"/>
            <w:shd w:val="clear" w:color="auto" w:fill="DEEAF6" w:themeFill="accent1" w:themeFillTint="33"/>
          </w:tcPr>
          <w:p w:rsidR="00093C51" w:rsidRPr="00093C51" w:rsidRDefault="008B19D1" w:rsidP="00093C51">
            <w:pPr>
              <w:pStyle w:val="Titre1"/>
              <w:spacing w:before="0"/>
              <w:jc w:val="center"/>
              <w:outlineLvl w:val="0"/>
              <w:rPr>
                <w:b/>
                <w:lang w:val="en-US"/>
              </w:rPr>
            </w:pPr>
            <w:r w:rsidRPr="008B19D1">
              <w:rPr>
                <w:b/>
                <w:lang w:val="en-US"/>
              </w:rPr>
              <w:t>SDV</w:t>
            </w:r>
            <w:r w:rsidR="00093C51">
              <w:rPr>
                <w:b/>
                <w:lang w:val="en-US"/>
              </w:rPr>
              <w:br/>
              <w:t>Animateur : Stanislas Dehaene</w:t>
            </w:r>
          </w:p>
        </w:tc>
      </w:tr>
      <w:tr w:rsidR="009A3FC7" w:rsidRPr="00093C51" w:rsidTr="008B19D1">
        <w:tc>
          <w:tcPr>
            <w:tcW w:w="3119" w:type="dxa"/>
          </w:tcPr>
          <w:p w:rsidR="008B19D1" w:rsidRPr="00093C51" w:rsidRDefault="008B19D1" w:rsidP="00093C51">
            <w:pPr>
              <w:pStyle w:val="Titre1"/>
              <w:outlineLvl w:val="0"/>
              <w:rPr>
                <w:b/>
                <w:lang w:val="en-US"/>
              </w:rPr>
            </w:pPr>
            <w:r w:rsidRPr="00093C51">
              <w:rPr>
                <w:b/>
                <w:sz w:val="24"/>
                <w:szCs w:val="24"/>
                <w:lang w:val="en-US"/>
              </w:rPr>
              <w:t>Avec</w:t>
            </w:r>
            <w:r w:rsidRPr="00093C51">
              <w:rPr>
                <w:b/>
                <w:lang w:val="en-US"/>
              </w:rPr>
              <w:t xml:space="preserve"> Robert Zatorre</w:t>
            </w:r>
            <w:r w:rsidRPr="00093C51">
              <w:rPr>
                <w:rStyle w:val="Appeldenotedefin"/>
                <w:b/>
                <w:u w:val="single"/>
                <w:lang w:val="en-US"/>
              </w:rPr>
              <w:endnoteReference w:id="3"/>
            </w:r>
          </w:p>
          <w:p w:rsidR="008B19D1" w:rsidRPr="00093C51" w:rsidRDefault="008B19D1" w:rsidP="008B19D1">
            <w:pPr>
              <w:jc w:val="both"/>
              <w:rPr>
                <w:b/>
                <w:u w:val="single"/>
                <w:lang w:val="en-US"/>
              </w:rPr>
            </w:pPr>
          </w:p>
          <w:p w:rsidR="009A3FC7" w:rsidRPr="00093C51" w:rsidRDefault="008B19D1" w:rsidP="00093C51">
            <w:pPr>
              <w:rPr>
                <w:i/>
                <w:lang w:val="en-US"/>
              </w:rPr>
            </w:pPr>
            <w:r w:rsidRPr="00BB1C95">
              <w:rPr>
                <w:i/>
                <w:lang w:val="en-US"/>
              </w:rPr>
              <w:t>Cognitive neuroscientist; Professor at McGill University</w:t>
            </w:r>
            <w:r w:rsidR="00093C51">
              <w:rPr>
                <w:i/>
                <w:lang w:val="en-US"/>
              </w:rPr>
              <w:t>,</w:t>
            </w:r>
            <w:r w:rsidRPr="00BB1C95">
              <w:rPr>
                <w:i/>
                <w:lang w:val="en-US"/>
              </w:rPr>
              <w:t xml:space="preserve"> laboratory for Brain, Music, and Sound research (BRAMS</w:t>
            </w:r>
            <w:r>
              <w:rPr>
                <w:i/>
                <w:lang w:val="en-US"/>
              </w:rPr>
              <w:t>)</w:t>
            </w:r>
          </w:p>
        </w:tc>
        <w:tc>
          <w:tcPr>
            <w:tcW w:w="6946" w:type="dxa"/>
          </w:tcPr>
          <w:p w:rsidR="008B19D1" w:rsidRDefault="009A3FC7" w:rsidP="008B19D1">
            <w:pPr>
              <w:pStyle w:val="Paragraphedeliste"/>
              <w:numPr>
                <w:ilvl w:val="0"/>
                <w:numId w:val="8"/>
              </w:numPr>
              <w:ind w:left="317"/>
              <w:jc w:val="both"/>
              <w:rPr>
                <w:u w:val="single"/>
              </w:rPr>
            </w:pPr>
            <w:r w:rsidRPr="002A7831">
              <w:rPr>
                <w:u w:val="single"/>
              </w:rPr>
              <w:t xml:space="preserve">Stanislas Dehaene, « Similarités et les différences entre IA et cerveau humain » </w:t>
            </w:r>
          </w:p>
          <w:p w:rsidR="009A3FC7" w:rsidRDefault="009A3FC7" w:rsidP="008B19D1">
            <w:pPr>
              <w:pStyle w:val="Paragraphedeliste"/>
              <w:ind w:left="317"/>
              <w:jc w:val="both"/>
              <w:rPr>
                <w:sz w:val="20"/>
                <w:szCs w:val="20"/>
              </w:rPr>
            </w:pPr>
            <w:r w:rsidRPr="008B19D1">
              <w:rPr>
                <w:sz w:val="20"/>
                <w:szCs w:val="20"/>
              </w:rPr>
              <w:t>(présentation par l’auteur (NeuroSpin, CEA) de son ouvrage « How we learn »)</w:t>
            </w:r>
          </w:p>
          <w:p w:rsidR="008B19D1" w:rsidRPr="008B19D1" w:rsidRDefault="008B19D1" w:rsidP="008B19D1">
            <w:pPr>
              <w:pStyle w:val="Paragraphedeliste"/>
              <w:ind w:left="317"/>
              <w:jc w:val="both"/>
              <w:rPr>
                <w:sz w:val="20"/>
                <w:szCs w:val="20"/>
                <w:u w:val="single"/>
              </w:rPr>
            </w:pPr>
          </w:p>
          <w:p w:rsidR="008B19D1" w:rsidRPr="008B19D1" w:rsidRDefault="009A3FC7" w:rsidP="008B19D1">
            <w:pPr>
              <w:pStyle w:val="Paragraphedeliste"/>
              <w:numPr>
                <w:ilvl w:val="0"/>
                <w:numId w:val="8"/>
              </w:numPr>
              <w:ind w:left="317"/>
              <w:jc w:val="both"/>
              <w:rPr>
                <w:lang w:val="en-US"/>
              </w:rPr>
            </w:pPr>
            <w:r w:rsidRPr="009A3FC7">
              <w:rPr>
                <w:u w:val="single"/>
                <w:lang w:val="en-US"/>
              </w:rPr>
              <w:t xml:space="preserve">Jean-Pierre Mothet, "Emerging roles of D-amino acids in brain physiology and pathology" </w:t>
            </w:r>
          </w:p>
          <w:p w:rsidR="009A3FC7" w:rsidRPr="008B19D1" w:rsidRDefault="009A3FC7" w:rsidP="008B19D1">
            <w:pPr>
              <w:pStyle w:val="Paragraphedeliste"/>
              <w:ind w:left="317"/>
              <w:jc w:val="both"/>
              <w:rPr>
                <w:sz w:val="20"/>
                <w:szCs w:val="20"/>
                <w:lang w:val="en-US"/>
              </w:rPr>
            </w:pPr>
            <w:r w:rsidRPr="008B19D1">
              <w:rPr>
                <w:sz w:val="20"/>
                <w:szCs w:val="20"/>
                <w:u w:val="single"/>
                <w:lang w:val="en-US"/>
              </w:rPr>
              <w:t>(</w:t>
            </w:r>
            <w:r w:rsidRPr="008B19D1">
              <w:rPr>
                <w:sz w:val="20"/>
                <w:szCs w:val="20"/>
                <w:lang w:val="en-US"/>
              </w:rPr>
              <w:t>Biophotonics and Synapse Physiopathology' (BioPsy) Team, Laboratoire LuMin)</w:t>
            </w:r>
          </w:p>
          <w:p w:rsidR="009A3FC7" w:rsidRPr="009A3FC7" w:rsidRDefault="009A3FC7" w:rsidP="008B19D1">
            <w:pPr>
              <w:pStyle w:val="Paragraphedeliste"/>
              <w:jc w:val="both"/>
              <w:rPr>
                <w:lang w:val="en-US"/>
              </w:rPr>
            </w:pPr>
          </w:p>
        </w:tc>
      </w:tr>
    </w:tbl>
    <w:p w:rsidR="002A7831" w:rsidRPr="00093C51" w:rsidRDefault="002A7831" w:rsidP="00840B9E">
      <w:pPr>
        <w:jc w:val="both"/>
        <w:rPr>
          <w:b/>
          <w:lang w:val="en-US"/>
        </w:rPr>
      </w:pPr>
    </w:p>
    <w:p w:rsidR="00AB37DE" w:rsidRPr="008B19D1" w:rsidRDefault="00BB1C95" w:rsidP="008310B9">
      <w:pPr>
        <w:pStyle w:val="Titre2"/>
        <w:jc w:val="center"/>
        <w:rPr>
          <w:b/>
        </w:rPr>
      </w:pPr>
      <w:r w:rsidRPr="008B19D1">
        <w:rPr>
          <w:b/>
        </w:rPr>
        <w:lastRenderedPageBreak/>
        <w:t>17h30 - conférence plénière</w:t>
      </w:r>
    </w:p>
    <w:p w:rsidR="00AB37DE" w:rsidRPr="008B19D1" w:rsidRDefault="00AB37DE" w:rsidP="008310B9">
      <w:pPr>
        <w:pStyle w:val="Titre2"/>
        <w:jc w:val="center"/>
        <w:rPr>
          <w:b/>
        </w:rPr>
      </w:pPr>
      <w:r w:rsidRPr="008B19D1">
        <w:rPr>
          <w:b/>
        </w:rPr>
        <w:t>Zaven Paré</w:t>
      </w:r>
      <w:r w:rsidR="008B19D1" w:rsidRPr="008B19D1">
        <w:rPr>
          <w:rStyle w:val="Appeldenotedefin"/>
          <w:b/>
        </w:rPr>
        <w:endnoteReference w:id="4"/>
      </w:r>
      <w:r w:rsidRPr="008B19D1">
        <w:rPr>
          <w:b/>
        </w:rPr>
        <w:t xml:space="preserve"> - De l’interaction avec les robots</w:t>
      </w:r>
    </w:p>
    <w:p w:rsidR="00AB37DE" w:rsidRPr="009A3FC7" w:rsidRDefault="00AB37DE" w:rsidP="00AB37DE">
      <w:pPr>
        <w:pStyle w:val="m8105604841386993834gmail-msonormal"/>
        <w:spacing w:after="0" w:afterAutospacing="0"/>
        <w:jc w:val="both"/>
        <w:rPr>
          <w:rFonts w:asciiTheme="minorHAnsi" w:hAnsiTheme="minorHAnsi"/>
          <w:sz w:val="22"/>
          <w:szCs w:val="22"/>
        </w:rPr>
      </w:pPr>
      <w:r w:rsidRPr="009A3FC7">
        <w:rPr>
          <w:rFonts w:asciiTheme="minorHAnsi" w:hAnsiTheme="minorHAnsi"/>
          <w:sz w:val="22"/>
          <w:szCs w:val="22"/>
        </w:rPr>
        <w:t>La robotique est un champ d’application dans lequel se projettent tous les fantasmes de l’intelligence artificielle. Le miroir des robots renvoie le reflet de l’</w:t>
      </w:r>
      <w:r w:rsidRPr="009A3FC7">
        <w:rPr>
          <w:rFonts w:asciiTheme="minorHAnsi" w:hAnsiTheme="minorHAnsi"/>
          <w:i/>
          <w:iCs/>
          <w:sz w:val="22"/>
          <w:szCs w:val="22"/>
        </w:rPr>
        <w:t>embodiment</w:t>
      </w:r>
      <w:r w:rsidRPr="009A3FC7">
        <w:rPr>
          <w:rFonts w:asciiTheme="minorHAnsi" w:hAnsiTheme="minorHAnsi"/>
          <w:sz w:val="22"/>
          <w:szCs w:val="22"/>
        </w:rPr>
        <w:t> de notre propre complexité en incorporant de l’IA dans des machines à notre image. Mais les robots peuvent aussi être des plateformes d’expérimentation pour étudier nos rapports à l’IA, c’est-à-dire nos relations d’interlocution possible avec des entités présumées intelligentes et qui ne seraient pas biologiques.</w:t>
      </w:r>
    </w:p>
    <w:p w:rsidR="00AB37DE" w:rsidRPr="009A3FC7" w:rsidRDefault="00AB37DE" w:rsidP="00AB37DE">
      <w:pPr>
        <w:pStyle w:val="m8105604841386993834gmail-msonormal"/>
        <w:spacing w:after="0" w:afterAutospacing="0"/>
        <w:jc w:val="both"/>
        <w:rPr>
          <w:rFonts w:asciiTheme="minorHAnsi" w:hAnsiTheme="minorHAnsi"/>
          <w:sz w:val="22"/>
          <w:szCs w:val="22"/>
        </w:rPr>
      </w:pPr>
      <w:r w:rsidRPr="009A3FC7">
        <w:rPr>
          <w:rFonts w:asciiTheme="minorHAnsi" w:hAnsiTheme="minorHAnsi"/>
          <w:sz w:val="22"/>
          <w:szCs w:val="22"/>
        </w:rPr>
        <w:t>Les expérimentations conduites avec des humanoïdes et des androïdes dans des laboratoires de robotique japonais ont montré la pertinence de l’intermédialité de dispositifs tels que des robots dans les recherches sur l’interaction sociale. Il a été constaté que ces machines complexes opéraient comme de véritables plateformes d’enchantement, des outils de médiation susceptibles de devenir des supports de réflexion, capables d’énoncer de nouvelles formes de relations, dans de véritables mises en scène. Un appareil tel qu’un robot peut alors devenir un outil de simulation pour interroger la structure de l’échange, la représentation de comportements et d’expressions, tels que la déférence et le détachement par exemple, ou encore permettre des études comparatives. C’est l’expérience de ces recherches développées au contact de ces premiers humanoïdes qui fut à l’origine de mes travaux dans le domaine du design d'interaction notamment dans le cadre d'études théâtrales et d'anthropologie.</w:t>
      </w:r>
    </w:p>
    <w:p w:rsidR="009A3FC7" w:rsidRPr="009A3FC7" w:rsidRDefault="009A3FC7" w:rsidP="00287CE2">
      <w:pPr>
        <w:jc w:val="both"/>
      </w:pPr>
    </w:p>
    <w:p w:rsidR="00BB1C95" w:rsidRPr="009A3FC7" w:rsidRDefault="00BB1C95" w:rsidP="00287CE2">
      <w:pPr>
        <w:jc w:val="both"/>
      </w:pPr>
      <w:r w:rsidRPr="009A3FC7">
        <w:t>La conférence et les débats seront présentés et clôturés par Pierre Guibentif, qui présentera à cette occasion les activités de la MSH Paris-Saclay et mettra le focus sur l'interdisciplinarité à l'issue d'ateliers plus disciplinaires.</w:t>
      </w:r>
    </w:p>
    <w:p w:rsidR="00BB1C95" w:rsidRPr="009A3FC7" w:rsidRDefault="00BB1C95" w:rsidP="00BB1C95"/>
    <w:p w:rsidR="00851E98" w:rsidRPr="009A3FC7" w:rsidRDefault="00BB1C95" w:rsidP="00BB1C95">
      <w:r w:rsidRPr="009A3FC7">
        <w:t>18h30 - clôture de la journée</w:t>
      </w:r>
    </w:p>
    <w:p w:rsidR="00BB1C95" w:rsidRPr="009A3FC7" w:rsidRDefault="00BB1C95" w:rsidP="00BB1C95"/>
    <w:p w:rsidR="008B19D1" w:rsidRDefault="00BB1C95" w:rsidP="00BB1C95">
      <w:r w:rsidRPr="009A3FC7">
        <w:t xml:space="preserve">Les discussions se tiendront en </w:t>
      </w:r>
      <w:r w:rsidR="00093C51">
        <w:t xml:space="preserve">français et en </w:t>
      </w:r>
      <w:r w:rsidRPr="009A3FC7">
        <w:t>anglais.</w:t>
      </w:r>
    </w:p>
    <w:p w:rsidR="008B19D1" w:rsidRPr="008B19D1" w:rsidRDefault="008B19D1" w:rsidP="008B19D1">
      <w:pPr>
        <w:jc w:val="center"/>
        <w:rPr>
          <w:b/>
        </w:rPr>
      </w:pPr>
      <w:r>
        <w:br w:type="page"/>
      </w:r>
      <w:r w:rsidRPr="008B19D1">
        <w:rPr>
          <w:b/>
        </w:rPr>
        <w:lastRenderedPageBreak/>
        <w:t>Présentation des intervenants de l’ICA4</w:t>
      </w:r>
    </w:p>
    <w:sectPr w:rsidR="008B19D1" w:rsidRPr="008B19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398" w:rsidRDefault="00C92398" w:rsidP="009A3FC7">
      <w:pPr>
        <w:spacing w:after="0" w:line="240" w:lineRule="auto"/>
      </w:pPr>
      <w:r>
        <w:separator/>
      </w:r>
    </w:p>
  </w:endnote>
  <w:endnote w:type="continuationSeparator" w:id="0">
    <w:p w:rsidR="00C92398" w:rsidRDefault="00C92398" w:rsidP="009A3FC7">
      <w:pPr>
        <w:spacing w:after="0" w:line="240" w:lineRule="auto"/>
      </w:pPr>
      <w:r>
        <w:continuationSeparator/>
      </w:r>
    </w:p>
  </w:endnote>
  <w:endnote w:id="1">
    <w:p w:rsidR="009A3FC7" w:rsidRPr="008B19D1" w:rsidRDefault="009A3FC7" w:rsidP="008B19D1">
      <w:pPr>
        <w:pStyle w:val="Notedefin"/>
        <w:jc w:val="both"/>
        <w:rPr>
          <w:sz w:val="22"/>
          <w:szCs w:val="22"/>
          <w:lang w:val="en-US"/>
        </w:rPr>
      </w:pPr>
      <w:r w:rsidRPr="008B19D1">
        <w:rPr>
          <w:rStyle w:val="Appeldenotedefin"/>
          <w:sz w:val="22"/>
          <w:szCs w:val="22"/>
        </w:rPr>
        <w:endnoteRef/>
      </w:r>
      <w:r w:rsidRPr="008B19D1">
        <w:rPr>
          <w:sz w:val="22"/>
          <w:szCs w:val="22"/>
          <w:lang w:val="en-US"/>
        </w:rPr>
        <w:t xml:space="preserve"> </w:t>
      </w:r>
      <w:r w:rsidRPr="008B19D1">
        <w:rPr>
          <w:b/>
          <w:sz w:val="22"/>
          <w:szCs w:val="22"/>
          <w:lang w:val="en-US"/>
        </w:rPr>
        <w:t>Karen Yeung’</w:t>
      </w:r>
      <w:r w:rsidRPr="008B19D1">
        <w:rPr>
          <w:sz w:val="22"/>
          <w:szCs w:val="22"/>
          <w:lang w:val="en-US"/>
        </w:rPr>
        <w:t>s research has been at the forefront of understanding the challenges associated with the regulation and governance of emerging technologies. Her recent and on-going work particularly focuses on the legal, ethical, social, and democratic implications of a suite of technologies associated with automation and the ‘computational turn,’ including big data analytics, artificial intelligence (including various forms of machine learning), distributed ledger technologies (including blockchain) and robotics. She is actively involved in several technology policy and related initiatives at the national, European, and international levels, including the UN’s Global Judicial Integrity Network and as a former member of the EU High Level Expert Group on AI and the Council of Europe’s Expert Committee on human rights dimensions of automated data processing and different forms of artificial intelligence (MSI-AUT). Karen occupies several strategic and advisory roles for various non-profit organizations and research programs concerned with responsible governance of technology. She is on the editorial boards of the Modern Law Review, Big Data &amp; Society, Public Law and Technology and Regulation.)</w:t>
      </w:r>
    </w:p>
    <w:p w:rsidR="008B19D1" w:rsidRPr="008B19D1" w:rsidRDefault="008B19D1" w:rsidP="008B19D1">
      <w:pPr>
        <w:pStyle w:val="Notedefin"/>
        <w:jc w:val="both"/>
        <w:rPr>
          <w:sz w:val="22"/>
          <w:szCs w:val="22"/>
          <w:lang w:val="en-US"/>
        </w:rPr>
      </w:pPr>
    </w:p>
  </w:endnote>
  <w:endnote w:id="2">
    <w:p w:rsidR="008B19D1" w:rsidRPr="008B19D1" w:rsidRDefault="008B19D1" w:rsidP="008B19D1">
      <w:pPr>
        <w:jc w:val="both"/>
        <w:rPr>
          <w:lang w:val="en-US"/>
        </w:rPr>
      </w:pPr>
      <w:r w:rsidRPr="008B19D1">
        <w:rPr>
          <w:rStyle w:val="Appeldenotedefin"/>
        </w:rPr>
        <w:endnoteRef/>
      </w:r>
      <w:r w:rsidRPr="008B19D1">
        <w:rPr>
          <w:lang w:val="en-US"/>
        </w:rPr>
        <w:t xml:space="preserve"> </w:t>
      </w:r>
      <w:r w:rsidRPr="008B19D1">
        <w:rPr>
          <w:b/>
          <w:lang w:val="en-US"/>
        </w:rPr>
        <w:t>Toshio Fukuda</w:t>
      </w:r>
      <w:r w:rsidRPr="008B19D1">
        <w:rPr>
          <w:lang w:val="en-US"/>
        </w:rPr>
        <w:t xml:space="preserve"> is a world-leading researcher in robotics, with special interest in intelligent robotic systems, micro-nano robotics, bio-robotic system and neuromorphic intelligent control. Among his greatest achievements are the development of continuous movement in robots and his pioneering microrobotics technology that has been a decisive contribution to medical technology. Laureate of the 1997 Dr.-Ing. Eugene Mittelmann Achievement Award, 2000 IEEE Third Millennium Medal, and 2011 IEEE/RSJ IROS Harashima Award for Innovative Technology, he is Professor at the Beijing Institute for Technology, Emeritus professor at Nagoya University, and 2019 President-Elect of the Institute of Electrical and Electronics Engineers.</w:t>
      </w:r>
    </w:p>
    <w:p w:rsidR="008B19D1" w:rsidRPr="008B19D1" w:rsidRDefault="008B19D1">
      <w:pPr>
        <w:pStyle w:val="Notedefin"/>
        <w:rPr>
          <w:sz w:val="22"/>
          <w:szCs w:val="22"/>
          <w:lang w:val="en-US"/>
        </w:rPr>
      </w:pPr>
    </w:p>
  </w:endnote>
  <w:endnote w:id="3">
    <w:p w:rsidR="008B19D1" w:rsidRPr="008B19D1" w:rsidRDefault="008B19D1" w:rsidP="008B19D1">
      <w:pPr>
        <w:jc w:val="both"/>
        <w:rPr>
          <w:lang w:val="en-US"/>
        </w:rPr>
      </w:pPr>
      <w:r w:rsidRPr="008B19D1">
        <w:rPr>
          <w:rStyle w:val="Appeldenotedefin"/>
        </w:rPr>
        <w:endnoteRef/>
      </w:r>
      <w:r w:rsidRPr="008B19D1">
        <w:rPr>
          <w:lang w:val="en-US"/>
        </w:rPr>
        <w:t xml:space="preserve"> </w:t>
      </w:r>
      <w:r w:rsidRPr="008B19D1">
        <w:rPr>
          <w:b/>
          <w:lang w:val="en-US"/>
        </w:rPr>
        <w:t>Robert Zatorre</w:t>
      </w:r>
      <w:r w:rsidRPr="008B19D1">
        <w:rPr>
          <w:lang w:val="en-US"/>
        </w:rPr>
        <w:t xml:space="preserve"> is a cognitive neuroscientist who is an expert in auditory cognition, focusing on human understanding of speech and music. He has worked on many, if not all, aspects of human auditory processing using modern brain-imaging techniques like functional and structural MRI, MEG and EEG, and brain stimulation techniques, together with cognitive and psychophysical measures. Professor at McGill University, he is co-founder of the international laboratory for Brain, Music, and Sound research (BRAMS). Among other prestigious awards that he has earned, he was awarded the C.L. de Carvalho-Heineken Prize in Cognitive Sciences in 2020.</w:t>
      </w:r>
    </w:p>
    <w:p w:rsidR="008B19D1" w:rsidRPr="008B19D1" w:rsidRDefault="008B19D1">
      <w:pPr>
        <w:pStyle w:val="Notedefin"/>
        <w:rPr>
          <w:sz w:val="22"/>
          <w:szCs w:val="22"/>
          <w:lang w:val="en-US"/>
        </w:rPr>
      </w:pPr>
    </w:p>
  </w:endnote>
  <w:endnote w:id="4">
    <w:p w:rsidR="008B19D1" w:rsidRPr="008B19D1" w:rsidRDefault="008B19D1" w:rsidP="008B19D1">
      <w:pPr>
        <w:pStyle w:val="Notedefin"/>
        <w:jc w:val="both"/>
        <w:rPr>
          <w:sz w:val="22"/>
          <w:szCs w:val="22"/>
        </w:rPr>
      </w:pPr>
      <w:r w:rsidRPr="008B19D1">
        <w:rPr>
          <w:rStyle w:val="Appeldenotedefin"/>
          <w:sz w:val="22"/>
          <w:szCs w:val="22"/>
        </w:rPr>
        <w:endnoteRef/>
      </w:r>
      <w:r w:rsidRPr="008B19D1">
        <w:rPr>
          <w:sz w:val="22"/>
          <w:szCs w:val="22"/>
        </w:rPr>
        <w:t xml:space="preserve"> </w:t>
      </w:r>
      <w:r w:rsidRPr="008B19D1">
        <w:rPr>
          <w:b/>
          <w:sz w:val="22"/>
          <w:szCs w:val="22"/>
        </w:rPr>
        <w:t>Zaven Paré</w:t>
      </w:r>
      <w:r w:rsidRPr="008B19D1">
        <w:rPr>
          <w:sz w:val="22"/>
          <w:szCs w:val="22"/>
        </w:rPr>
        <w:t xml:space="preserve"> est artiste et chercheur. Il fait du </w:t>
      </w:r>
      <w:r w:rsidRPr="008B19D1">
        <w:rPr>
          <w:iCs/>
          <w:sz w:val="22"/>
          <w:szCs w:val="22"/>
        </w:rPr>
        <w:t>Machine Art</w:t>
      </w:r>
      <w:r w:rsidRPr="008B19D1">
        <w:rPr>
          <w:sz w:val="22"/>
          <w:szCs w:val="22"/>
        </w:rPr>
        <w:t xml:space="preserve"> et il est </w:t>
      </w:r>
      <w:r w:rsidRPr="008B19D1">
        <w:rPr>
          <w:iCs/>
          <w:sz w:val="22"/>
          <w:szCs w:val="22"/>
        </w:rPr>
        <w:t>Robot Drama Researcher</w:t>
      </w:r>
      <w:r w:rsidRPr="008B19D1">
        <w:rPr>
          <w:sz w:val="22"/>
          <w:szCs w:val="22"/>
        </w:rPr>
        <w:t xml:space="preserve">. Il invente les premières marionnettes électroniques (collections du Ballard Institute dans le Connecticut, des Musées Gadagne de Lyon, du Musée d'Ethnographie de Neuchâtel et des Musées de Marionnettes en Belgique, en Italie et en Russie), et ses dispositifs jouent la première pièce de Valère Novarina en anglais en 1999 (Los Angeles, New York, Avignon). Dix ans plus tard, il devient collaborateur du </w:t>
      </w:r>
      <w:r w:rsidRPr="008B19D1">
        <w:rPr>
          <w:iCs/>
          <w:sz w:val="22"/>
          <w:szCs w:val="22"/>
        </w:rPr>
        <w:t>Robot Actors Project</w:t>
      </w:r>
      <w:r w:rsidRPr="008B19D1">
        <w:rPr>
          <w:sz w:val="22"/>
          <w:szCs w:val="22"/>
        </w:rPr>
        <w:t xml:space="preserve"> du Professeur Hiroshi Ishiguro de l'</w:t>
      </w:r>
      <w:r w:rsidRPr="008B19D1">
        <w:rPr>
          <w:iCs/>
          <w:sz w:val="22"/>
          <w:szCs w:val="22"/>
        </w:rPr>
        <w:t>Intelligent Robotics Laboratory</w:t>
      </w:r>
      <w:r w:rsidRPr="008B19D1">
        <w:rPr>
          <w:sz w:val="22"/>
          <w:szCs w:val="22"/>
        </w:rPr>
        <w:t xml:space="preserve"> de l'Université d'Osaka. </w:t>
      </w:r>
    </w:p>
    <w:p w:rsidR="008B19D1" w:rsidRPr="008B19D1" w:rsidRDefault="008B19D1" w:rsidP="008B19D1">
      <w:pPr>
        <w:pStyle w:val="Notedefin"/>
        <w:jc w:val="both"/>
        <w:rPr>
          <w:sz w:val="22"/>
          <w:szCs w:val="22"/>
        </w:rPr>
      </w:pPr>
      <w:r w:rsidRPr="008B19D1">
        <w:rPr>
          <w:sz w:val="22"/>
          <w:szCs w:val="22"/>
        </w:rPr>
        <w:t xml:space="preserve">Zaven Paré a été lauréat du </w:t>
      </w:r>
      <w:r w:rsidRPr="008B19D1">
        <w:rPr>
          <w:iCs/>
          <w:sz w:val="22"/>
          <w:szCs w:val="22"/>
        </w:rPr>
        <w:t>French American Fund for Performing Arts</w:t>
      </w:r>
      <w:r w:rsidRPr="008B19D1">
        <w:rPr>
          <w:sz w:val="22"/>
          <w:szCs w:val="22"/>
        </w:rPr>
        <w:t xml:space="preserve"> au </w:t>
      </w:r>
      <w:r w:rsidRPr="008B19D1">
        <w:rPr>
          <w:iCs/>
          <w:sz w:val="22"/>
          <w:szCs w:val="22"/>
        </w:rPr>
        <w:t>California Institute for the Arts</w:t>
      </w:r>
      <w:r w:rsidRPr="008B19D1">
        <w:rPr>
          <w:sz w:val="22"/>
          <w:szCs w:val="22"/>
        </w:rPr>
        <w:t xml:space="preserve">, de la Villa Kujoyama et de la </w:t>
      </w:r>
      <w:r w:rsidRPr="008B19D1">
        <w:rPr>
          <w:iCs/>
          <w:sz w:val="22"/>
          <w:szCs w:val="22"/>
        </w:rPr>
        <w:t>Japan Society for Promotion of Science</w:t>
      </w:r>
      <w:r w:rsidRPr="008B19D1">
        <w:rPr>
          <w:sz w:val="22"/>
          <w:szCs w:val="22"/>
        </w:rPr>
        <w:t xml:space="preserve"> (</w:t>
      </w:r>
      <w:r w:rsidRPr="008B19D1">
        <w:rPr>
          <w:iCs/>
          <w:sz w:val="22"/>
          <w:szCs w:val="22"/>
        </w:rPr>
        <w:t>JSPS</w:t>
      </w:r>
      <w:r w:rsidRPr="008B19D1">
        <w:rPr>
          <w:sz w:val="22"/>
          <w:szCs w:val="22"/>
        </w:rPr>
        <w:t xml:space="preserve">), Lauréat du Prix Sergio Motta en Arts et Technologie au Brésil et l'invité d'honneur du dernier festival de marionnettes de Moscou. Il est l'auteur de </w:t>
      </w:r>
      <w:r w:rsidRPr="008B19D1">
        <w:rPr>
          <w:iCs/>
          <w:sz w:val="22"/>
          <w:szCs w:val="22"/>
        </w:rPr>
        <w:t xml:space="preserve">L'âge d'or de la robotique japonaise </w:t>
      </w:r>
      <w:r w:rsidRPr="008B19D1">
        <w:rPr>
          <w:sz w:val="22"/>
          <w:szCs w:val="22"/>
        </w:rPr>
        <w:t xml:space="preserve">(Paris : Les Belles Lettres, 2016), et plus récemment de l’ouvrage </w:t>
      </w:r>
      <w:r w:rsidRPr="008B19D1">
        <w:rPr>
          <w:iCs/>
          <w:sz w:val="22"/>
          <w:szCs w:val="22"/>
        </w:rPr>
        <w:t>Le spectacle anthropomorphique, Entre les singes et les robots</w:t>
      </w:r>
      <w:r w:rsidRPr="008B19D1">
        <w:rPr>
          <w:sz w:val="22"/>
          <w:szCs w:val="22"/>
        </w:rPr>
        <w:t xml:space="preserve"> (Dijon : Les Presses du Réel, 2021).</w:t>
      </w:r>
    </w:p>
    <w:p w:rsidR="008B19D1" w:rsidRPr="008B19D1" w:rsidRDefault="008B19D1" w:rsidP="008B19D1">
      <w:pPr>
        <w:pStyle w:val="Notedefin"/>
        <w:jc w:val="both"/>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398" w:rsidRDefault="00C92398" w:rsidP="009A3FC7">
      <w:pPr>
        <w:spacing w:after="0" w:line="240" w:lineRule="auto"/>
      </w:pPr>
      <w:r>
        <w:separator/>
      </w:r>
    </w:p>
  </w:footnote>
  <w:footnote w:type="continuationSeparator" w:id="0">
    <w:p w:rsidR="00C92398" w:rsidRDefault="00C92398" w:rsidP="009A3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2880"/>
    <w:multiLevelType w:val="hybridMultilevel"/>
    <w:tmpl w:val="E19E1916"/>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C1D311A"/>
    <w:multiLevelType w:val="hybridMultilevel"/>
    <w:tmpl w:val="5AF024A8"/>
    <w:lvl w:ilvl="0" w:tplc="040C000D">
      <w:start w:val="1"/>
      <w:numFmt w:val="bullet"/>
      <w:lvlText w:val=""/>
      <w:lvlJc w:val="left"/>
      <w:pPr>
        <w:ind w:left="360"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03">
      <w:start w:val="1"/>
      <w:numFmt w:val="bullet"/>
      <w:lvlText w:val="o"/>
      <w:lvlJc w:val="left"/>
      <w:pPr>
        <w:ind w:left="1800" w:hanging="360"/>
      </w:pPr>
      <w:rPr>
        <w:rFonts w:ascii="Courier New" w:hAnsi="Courier New" w:cs="Courier New"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BC552FE"/>
    <w:multiLevelType w:val="hybridMultilevel"/>
    <w:tmpl w:val="3594F0D8"/>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AF8696E"/>
    <w:multiLevelType w:val="hybridMultilevel"/>
    <w:tmpl w:val="BACA7FC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9795BB5"/>
    <w:multiLevelType w:val="hybridMultilevel"/>
    <w:tmpl w:val="725E24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06271B"/>
    <w:multiLevelType w:val="hybridMultilevel"/>
    <w:tmpl w:val="FCF2959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5A0D636E"/>
    <w:multiLevelType w:val="hybridMultilevel"/>
    <w:tmpl w:val="42E24568"/>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658F6F6C"/>
    <w:multiLevelType w:val="hybridMultilevel"/>
    <w:tmpl w:val="2DACA8D0"/>
    <w:lvl w:ilvl="0" w:tplc="3AE241F8">
      <w:start w:val="1"/>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6C3A4BF0"/>
    <w:multiLevelType w:val="hybridMultilevel"/>
    <w:tmpl w:val="FC46A0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6"/>
  </w:num>
  <w:num w:numId="6">
    <w:abstractNumId w:val="0"/>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63"/>
    <w:rsid w:val="00093C51"/>
    <w:rsid w:val="00287CE2"/>
    <w:rsid w:val="002A7831"/>
    <w:rsid w:val="00475ACC"/>
    <w:rsid w:val="005335A5"/>
    <w:rsid w:val="005407E9"/>
    <w:rsid w:val="0055080B"/>
    <w:rsid w:val="005A74F3"/>
    <w:rsid w:val="005B1F10"/>
    <w:rsid w:val="006528EF"/>
    <w:rsid w:val="008310B9"/>
    <w:rsid w:val="00840B9E"/>
    <w:rsid w:val="00851E98"/>
    <w:rsid w:val="00866FA7"/>
    <w:rsid w:val="008B19D1"/>
    <w:rsid w:val="00974078"/>
    <w:rsid w:val="009A3FC7"/>
    <w:rsid w:val="00AB37DE"/>
    <w:rsid w:val="00AB7A15"/>
    <w:rsid w:val="00AF4678"/>
    <w:rsid w:val="00BB1C95"/>
    <w:rsid w:val="00C37DE6"/>
    <w:rsid w:val="00C92398"/>
    <w:rsid w:val="00CB0175"/>
    <w:rsid w:val="00CC7DD0"/>
    <w:rsid w:val="00CD5963"/>
    <w:rsid w:val="00F234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DE48E-C216-4A60-92BC-65ECAA57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831"/>
  </w:style>
  <w:style w:type="paragraph" w:styleId="Titre1">
    <w:name w:val="heading 1"/>
    <w:basedOn w:val="Normal"/>
    <w:next w:val="Normal"/>
    <w:link w:val="Titre1Car"/>
    <w:uiPriority w:val="9"/>
    <w:qFormat/>
    <w:rsid w:val="008310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310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1C95"/>
    <w:pPr>
      <w:ind w:left="720"/>
      <w:contextualSpacing/>
    </w:pPr>
  </w:style>
  <w:style w:type="character" w:styleId="Accentuation">
    <w:name w:val="Emphasis"/>
    <w:basedOn w:val="Policepardfaut"/>
    <w:uiPriority w:val="20"/>
    <w:qFormat/>
    <w:rsid w:val="00840B9E"/>
    <w:rPr>
      <w:i/>
      <w:iCs/>
    </w:rPr>
  </w:style>
  <w:style w:type="paragraph" w:customStyle="1" w:styleId="m8105604841386993834gmail-msonormal">
    <w:name w:val="m_8105604841386993834gmail-msonormal"/>
    <w:basedOn w:val="Normal"/>
    <w:rsid w:val="00AB37D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8310B9"/>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8310B9"/>
    <w:rPr>
      <w:rFonts w:asciiTheme="majorHAnsi" w:eastAsiaTheme="majorEastAsia" w:hAnsiTheme="majorHAnsi" w:cstheme="majorBidi"/>
      <w:color w:val="2E74B5" w:themeColor="accent1" w:themeShade="BF"/>
      <w:sz w:val="26"/>
      <w:szCs w:val="26"/>
    </w:rPr>
  </w:style>
  <w:style w:type="table" w:styleId="Grilledutableau">
    <w:name w:val="Table Grid"/>
    <w:basedOn w:val="TableauNormal"/>
    <w:uiPriority w:val="39"/>
    <w:rsid w:val="002A7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A3FC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A3FC7"/>
    <w:rPr>
      <w:sz w:val="20"/>
      <w:szCs w:val="20"/>
    </w:rPr>
  </w:style>
  <w:style w:type="character" w:styleId="Appelnotedebasdep">
    <w:name w:val="footnote reference"/>
    <w:basedOn w:val="Policepardfaut"/>
    <w:uiPriority w:val="99"/>
    <w:semiHidden/>
    <w:unhideWhenUsed/>
    <w:rsid w:val="009A3FC7"/>
    <w:rPr>
      <w:vertAlign w:val="superscript"/>
    </w:rPr>
  </w:style>
  <w:style w:type="paragraph" w:styleId="Notedefin">
    <w:name w:val="endnote text"/>
    <w:basedOn w:val="Normal"/>
    <w:link w:val="NotedefinCar"/>
    <w:uiPriority w:val="99"/>
    <w:semiHidden/>
    <w:unhideWhenUsed/>
    <w:rsid w:val="009A3FC7"/>
    <w:pPr>
      <w:spacing w:after="0" w:line="240" w:lineRule="auto"/>
    </w:pPr>
    <w:rPr>
      <w:sz w:val="20"/>
      <w:szCs w:val="20"/>
    </w:rPr>
  </w:style>
  <w:style w:type="character" w:customStyle="1" w:styleId="NotedefinCar">
    <w:name w:val="Note de fin Car"/>
    <w:basedOn w:val="Policepardfaut"/>
    <w:link w:val="Notedefin"/>
    <w:uiPriority w:val="99"/>
    <w:semiHidden/>
    <w:rsid w:val="009A3FC7"/>
    <w:rPr>
      <w:sz w:val="20"/>
      <w:szCs w:val="20"/>
    </w:rPr>
  </w:style>
  <w:style w:type="character" w:styleId="Appeldenotedefin">
    <w:name w:val="endnote reference"/>
    <w:basedOn w:val="Policepardfaut"/>
    <w:uiPriority w:val="99"/>
    <w:semiHidden/>
    <w:unhideWhenUsed/>
    <w:rsid w:val="009A3F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30610">
      <w:bodyDiv w:val="1"/>
      <w:marLeft w:val="0"/>
      <w:marRight w:val="0"/>
      <w:marTop w:val="0"/>
      <w:marBottom w:val="0"/>
      <w:divBdr>
        <w:top w:val="none" w:sz="0" w:space="0" w:color="auto"/>
        <w:left w:val="none" w:sz="0" w:space="0" w:color="auto"/>
        <w:bottom w:val="none" w:sz="0" w:space="0" w:color="auto"/>
        <w:right w:val="none" w:sz="0" w:space="0" w:color="auto"/>
      </w:divBdr>
    </w:div>
    <w:div w:id="537476141">
      <w:bodyDiv w:val="1"/>
      <w:marLeft w:val="0"/>
      <w:marRight w:val="0"/>
      <w:marTop w:val="0"/>
      <w:marBottom w:val="0"/>
      <w:divBdr>
        <w:top w:val="none" w:sz="0" w:space="0" w:color="auto"/>
        <w:left w:val="none" w:sz="0" w:space="0" w:color="auto"/>
        <w:bottom w:val="none" w:sz="0" w:space="0" w:color="auto"/>
        <w:right w:val="none" w:sz="0" w:space="0" w:color="auto"/>
      </w:divBdr>
    </w:div>
    <w:div w:id="749156000">
      <w:bodyDiv w:val="1"/>
      <w:marLeft w:val="0"/>
      <w:marRight w:val="0"/>
      <w:marTop w:val="0"/>
      <w:marBottom w:val="0"/>
      <w:divBdr>
        <w:top w:val="none" w:sz="0" w:space="0" w:color="auto"/>
        <w:left w:val="none" w:sz="0" w:space="0" w:color="auto"/>
        <w:bottom w:val="none" w:sz="0" w:space="0" w:color="auto"/>
        <w:right w:val="none" w:sz="0" w:space="0" w:color="auto"/>
      </w:divBdr>
      <w:divsChild>
        <w:div w:id="1818573542">
          <w:marLeft w:val="0"/>
          <w:marRight w:val="0"/>
          <w:marTop w:val="0"/>
          <w:marBottom w:val="0"/>
          <w:divBdr>
            <w:top w:val="none" w:sz="0" w:space="0" w:color="auto"/>
            <w:left w:val="none" w:sz="0" w:space="0" w:color="auto"/>
            <w:bottom w:val="none" w:sz="0" w:space="0" w:color="auto"/>
            <w:right w:val="none" w:sz="0" w:space="0" w:color="auto"/>
          </w:divBdr>
        </w:div>
      </w:divsChild>
    </w:div>
    <w:div w:id="779179836">
      <w:bodyDiv w:val="1"/>
      <w:marLeft w:val="0"/>
      <w:marRight w:val="0"/>
      <w:marTop w:val="0"/>
      <w:marBottom w:val="0"/>
      <w:divBdr>
        <w:top w:val="none" w:sz="0" w:space="0" w:color="auto"/>
        <w:left w:val="none" w:sz="0" w:space="0" w:color="auto"/>
        <w:bottom w:val="none" w:sz="0" w:space="0" w:color="auto"/>
        <w:right w:val="none" w:sz="0" w:space="0" w:color="auto"/>
      </w:divBdr>
      <w:divsChild>
        <w:div w:id="1144002787">
          <w:marLeft w:val="0"/>
          <w:marRight w:val="0"/>
          <w:marTop w:val="0"/>
          <w:marBottom w:val="0"/>
          <w:divBdr>
            <w:top w:val="none" w:sz="0" w:space="0" w:color="auto"/>
            <w:left w:val="none" w:sz="0" w:space="0" w:color="auto"/>
            <w:bottom w:val="none" w:sz="0" w:space="0" w:color="auto"/>
            <w:right w:val="none" w:sz="0" w:space="0" w:color="auto"/>
          </w:divBdr>
        </w:div>
        <w:div w:id="1425034343">
          <w:marLeft w:val="0"/>
          <w:marRight w:val="0"/>
          <w:marTop w:val="0"/>
          <w:marBottom w:val="0"/>
          <w:divBdr>
            <w:top w:val="none" w:sz="0" w:space="0" w:color="auto"/>
            <w:left w:val="none" w:sz="0" w:space="0" w:color="auto"/>
            <w:bottom w:val="none" w:sz="0" w:space="0" w:color="auto"/>
            <w:right w:val="none" w:sz="0" w:space="0" w:color="auto"/>
          </w:divBdr>
        </w:div>
      </w:divsChild>
    </w:div>
    <w:div w:id="923876405">
      <w:bodyDiv w:val="1"/>
      <w:marLeft w:val="0"/>
      <w:marRight w:val="0"/>
      <w:marTop w:val="0"/>
      <w:marBottom w:val="0"/>
      <w:divBdr>
        <w:top w:val="none" w:sz="0" w:space="0" w:color="auto"/>
        <w:left w:val="none" w:sz="0" w:space="0" w:color="auto"/>
        <w:bottom w:val="none" w:sz="0" w:space="0" w:color="auto"/>
        <w:right w:val="none" w:sz="0" w:space="0" w:color="auto"/>
      </w:divBdr>
      <w:divsChild>
        <w:div w:id="1847820131">
          <w:marLeft w:val="0"/>
          <w:marRight w:val="0"/>
          <w:marTop w:val="0"/>
          <w:marBottom w:val="0"/>
          <w:divBdr>
            <w:top w:val="none" w:sz="0" w:space="0" w:color="auto"/>
            <w:left w:val="none" w:sz="0" w:space="0" w:color="auto"/>
            <w:bottom w:val="none" w:sz="0" w:space="0" w:color="auto"/>
            <w:right w:val="none" w:sz="0" w:space="0" w:color="auto"/>
          </w:divBdr>
        </w:div>
      </w:divsChild>
    </w:div>
    <w:div w:id="1574661249">
      <w:bodyDiv w:val="1"/>
      <w:marLeft w:val="0"/>
      <w:marRight w:val="0"/>
      <w:marTop w:val="0"/>
      <w:marBottom w:val="0"/>
      <w:divBdr>
        <w:top w:val="none" w:sz="0" w:space="0" w:color="auto"/>
        <w:left w:val="none" w:sz="0" w:space="0" w:color="auto"/>
        <w:bottom w:val="none" w:sz="0" w:space="0" w:color="auto"/>
        <w:right w:val="none" w:sz="0" w:space="0" w:color="auto"/>
      </w:divBdr>
    </w:div>
    <w:div w:id="1610503410">
      <w:bodyDiv w:val="1"/>
      <w:marLeft w:val="0"/>
      <w:marRight w:val="0"/>
      <w:marTop w:val="0"/>
      <w:marBottom w:val="0"/>
      <w:divBdr>
        <w:top w:val="none" w:sz="0" w:space="0" w:color="auto"/>
        <w:left w:val="none" w:sz="0" w:space="0" w:color="auto"/>
        <w:bottom w:val="none" w:sz="0" w:space="0" w:color="auto"/>
        <w:right w:val="none" w:sz="0" w:space="0" w:color="auto"/>
      </w:divBdr>
      <w:divsChild>
        <w:div w:id="1331253489">
          <w:marLeft w:val="0"/>
          <w:marRight w:val="0"/>
          <w:marTop w:val="0"/>
          <w:marBottom w:val="0"/>
          <w:divBdr>
            <w:top w:val="none" w:sz="0" w:space="0" w:color="auto"/>
            <w:left w:val="none" w:sz="0" w:space="0" w:color="auto"/>
            <w:bottom w:val="none" w:sz="0" w:space="0" w:color="auto"/>
            <w:right w:val="none" w:sz="0" w:space="0" w:color="auto"/>
          </w:divBdr>
        </w:div>
      </w:divsChild>
    </w:div>
    <w:div w:id="1746107741">
      <w:bodyDiv w:val="1"/>
      <w:marLeft w:val="0"/>
      <w:marRight w:val="0"/>
      <w:marTop w:val="0"/>
      <w:marBottom w:val="0"/>
      <w:divBdr>
        <w:top w:val="none" w:sz="0" w:space="0" w:color="auto"/>
        <w:left w:val="none" w:sz="0" w:space="0" w:color="auto"/>
        <w:bottom w:val="none" w:sz="0" w:space="0" w:color="auto"/>
        <w:right w:val="none" w:sz="0" w:space="0" w:color="auto"/>
      </w:divBdr>
      <w:divsChild>
        <w:div w:id="479008146">
          <w:marLeft w:val="0"/>
          <w:marRight w:val="0"/>
          <w:marTop w:val="0"/>
          <w:marBottom w:val="0"/>
          <w:divBdr>
            <w:top w:val="none" w:sz="0" w:space="0" w:color="auto"/>
            <w:left w:val="none" w:sz="0" w:space="0" w:color="auto"/>
            <w:bottom w:val="none" w:sz="0" w:space="0" w:color="auto"/>
            <w:right w:val="none" w:sz="0" w:space="0" w:color="auto"/>
          </w:divBdr>
        </w:div>
        <w:div w:id="490292582">
          <w:marLeft w:val="0"/>
          <w:marRight w:val="0"/>
          <w:marTop w:val="0"/>
          <w:marBottom w:val="0"/>
          <w:divBdr>
            <w:top w:val="none" w:sz="0" w:space="0" w:color="auto"/>
            <w:left w:val="none" w:sz="0" w:space="0" w:color="auto"/>
            <w:bottom w:val="none" w:sz="0" w:space="0" w:color="auto"/>
            <w:right w:val="none" w:sz="0" w:space="0" w:color="auto"/>
          </w:divBdr>
        </w:div>
      </w:divsChild>
    </w:div>
    <w:div w:id="1781685974">
      <w:bodyDiv w:val="1"/>
      <w:marLeft w:val="0"/>
      <w:marRight w:val="0"/>
      <w:marTop w:val="0"/>
      <w:marBottom w:val="0"/>
      <w:divBdr>
        <w:top w:val="none" w:sz="0" w:space="0" w:color="auto"/>
        <w:left w:val="none" w:sz="0" w:space="0" w:color="auto"/>
        <w:bottom w:val="none" w:sz="0" w:space="0" w:color="auto"/>
        <w:right w:val="none" w:sz="0" w:space="0" w:color="auto"/>
      </w:divBdr>
    </w:div>
    <w:div w:id="1836262522">
      <w:bodyDiv w:val="1"/>
      <w:marLeft w:val="0"/>
      <w:marRight w:val="0"/>
      <w:marTop w:val="0"/>
      <w:marBottom w:val="0"/>
      <w:divBdr>
        <w:top w:val="none" w:sz="0" w:space="0" w:color="auto"/>
        <w:left w:val="none" w:sz="0" w:space="0" w:color="auto"/>
        <w:bottom w:val="none" w:sz="0" w:space="0" w:color="auto"/>
        <w:right w:val="none" w:sz="0" w:space="0" w:color="auto"/>
      </w:divBdr>
      <w:divsChild>
        <w:div w:id="1552109842">
          <w:marLeft w:val="0"/>
          <w:marRight w:val="0"/>
          <w:marTop w:val="0"/>
          <w:marBottom w:val="0"/>
          <w:divBdr>
            <w:top w:val="none" w:sz="0" w:space="0" w:color="auto"/>
            <w:left w:val="none" w:sz="0" w:space="0" w:color="auto"/>
            <w:bottom w:val="none" w:sz="0" w:space="0" w:color="auto"/>
            <w:right w:val="none" w:sz="0" w:space="0" w:color="auto"/>
          </w:divBdr>
        </w:div>
        <w:div w:id="1346131803">
          <w:marLeft w:val="0"/>
          <w:marRight w:val="0"/>
          <w:marTop w:val="0"/>
          <w:marBottom w:val="0"/>
          <w:divBdr>
            <w:top w:val="none" w:sz="0" w:space="0" w:color="auto"/>
            <w:left w:val="none" w:sz="0" w:space="0" w:color="auto"/>
            <w:bottom w:val="none" w:sz="0" w:space="0" w:color="auto"/>
            <w:right w:val="none" w:sz="0" w:space="0" w:color="auto"/>
          </w:divBdr>
        </w:div>
      </w:divsChild>
    </w:div>
    <w:div w:id="1925532292">
      <w:bodyDiv w:val="1"/>
      <w:marLeft w:val="0"/>
      <w:marRight w:val="0"/>
      <w:marTop w:val="0"/>
      <w:marBottom w:val="0"/>
      <w:divBdr>
        <w:top w:val="none" w:sz="0" w:space="0" w:color="auto"/>
        <w:left w:val="none" w:sz="0" w:space="0" w:color="auto"/>
        <w:bottom w:val="none" w:sz="0" w:space="0" w:color="auto"/>
        <w:right w:val="none" w:sz="0" w:space="0" w:color="auto"/>
      </w:divBdr>
      <w:divsChild>
        <w:div w:id="417287513">
          <w:marLeft w:val="0"/>
          <w:marRight w:val="0"/>
          <w:marTop w:val="0"/>
          <w:marBottom w:val="0"/>
          <w:divBdr>
            <w:top w:val="none" w:sz="0" w:space="0" w:color="auto"/>
            <w:left w:val="none" w:sz="0" w:space="0" w:color="auto"/>
            <w:bottom w:val="none" w:sz="0" w:space="0" w:color="auto"/>
            <w:right w:val="none" w:sz="0" w:space="0" w:color="auto"/>
          </w:divBdr>
        </w:div>
      </w:divsChild>
    </w:div>
    <w:div w:id="2053922564">
      <w:bodyDiv w:val="1"/>
      <w:marLeft w:val="0"/>
      <w:marRight w:val="0"/>
      <w:marTop w:val="0"/>
      <w:marBottom w:val="0"/>
      <w:divBdr>
        <w:top w:val="none" w:sz="0" w:space="0" w:color="auto"/>
        <w:left w:val="none" w:sz="0" w:space="0" w:color="auto"/>
        <w:bottom w:val="none" w:sz="0" w:space="0" w:color="auto"/>
        <w:right w:val="none" w:sz="0" w:space="0" w:color="auto"/>
      </w:divBdr>
      <w:divsChild>
        <w:div w:id="1995402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56EE6-DCF3-4178-9EAE-C3F4F163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618</Words>
  <Characters>3399</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Lacour</dc:creator>
  <cp:keywords/>
  <dc:description/>
  <cp:lastModifiedBy> </cp:lastModifiedBy>
  <cp:revision>2</cp:revision>
  <dcterms:created xsi:type="dcterms:W3CDTF">2021-10-11T08:09:00Z</dcterms:created>
  <dcterms:modified xsi:type="dcterms:W3CDTF">2021-10-11T08:09:00Z</dcterms:modified>
</cp:coreProperties>
</file>